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8758" w14:textId="77777777" w:rsidR="006A2E9D" w:rsidRPr="00087E9C" w:rsidRDefault="006A2E9D" w:rsidP="006A2E9D">
      <w:pPr>
        <w:tabs>
          <w:tab w:val="left" w:pos="0"/>
          <w:tab w:val="left" w:pos="874"/>
          <w:tab w:val="left" w:pos="1725"/>
          <w:tab w:val="left" w:pos="2574"/>
          <w:tab w:val="left" w:pos="4277"/>
          <w:tab w:val="left" w:pos="5128"/>
          <w:tab w:val="left" w:pos="5979"/>
          <w:tab w:val="left" w:pos="6828"/>
          <w:tab w:val="left" w:pos="7680"/>
          <w:tab w:val="left" w:pos="8531"/>
          <w:tab w:val="left" w:pos="9382"/>
        </w:tabs>
        <w:suppressAutoHyphens/>
        <w:jc w:val="center"/>
        <w:rPr>
          <w:rFonts w:cs="Calibri"/>
          <w:b/>
          <w:sz w:val="20"/>
          <w:szCs w:val="20"/>
        </w:rPr>
      </w:pPr>
      <w:r w:rsidRPr="00087E9C">
        <w:rPr>
          <w:rFonts w:cs="Calibri"/>
          <w:b/>
          <w:sz w:val="20"/>
          <w:szCs w:val="20"/>
        </w:rPr>
        <w:t>(minuta de Resolução que e</w:t>
      </w:r>
      <w:r w:rsidRPr="00087E9C">
        <w:rPr>
          <w:rFonts w:cs="Calibri"/>
          <w:b/>
          <w:color w:val="000000"/>
          <w:sz w:val="20"/>
          <w:szCs w:val="20"/>
        </w:rPr>
        <w:t>stabelece as disciplinas e práticas profissionais que passarão a compor o elenco do Departamento</w:t>
      </w:r>
      <w:r>
        <w:rPr>
          <w:rFonts w:cs="Calibri"/>
          <w:b/>
          <w:color w:val="000000"/>
          <w:sz w:val="20"/>
          <w:szCs w:val="20"/>
        </w:rPr>
        <w:t xml:space="preserve"> de </w:t>
      </w:r>
      <w:r w:rsidRPr="00087E9C">
        <w:rPr>
          <w:rFonts w:cs="Calibri"/>
          <w:b/>
          <w:color w:val="000000"/>
          <w:sz w:val="20"/>
          <w:szCs w:val="20"/>
        </w:rPr>
        <w:t xml:space="preserve">  </w:t>
      </w:r>
      <w:r w:rsidRPr="00B63DF7">
        <w:rPr>
          <w:rFonts w:cs="Calibri"/>
          <w:b/>
          <w:color w:val="000000"/>
        </w:rPr>
        <w:t>(</w:t>
      </w:r>
      <w:r w:rsidRPr="00B63DF7">
        <w:rPr>
          <w:rFonts w:cs="Calibri"/>
          <w:b/>
          <w:color w:val="FF0000"/>
          <w:u w:val="single"/>
        </w:rPr>
        <w:t>somente em caso de criação de disciplinas</w:t>
      </w:r>
      <w:r w:rsidRPr="00087E9C">
        <w:rPr>
          <w:rFonts w:cs="Calibri"/>
          <w:b/>
          <w:color w:val="000000"/>
          <w:sz w:val="20"/>
          <w:szCs w:val="20"/>
        </w:rPr>
        <w:t>)</w:t>
      </w:r>
    </w:p>
    <w:p w14:paraId="4C6CE9A6" w14:textId="77777777" w:rsidR="006A2E9D" w:rsidRPr="00087E9C" w:rsidRDefault="006A2E9D" w:rsidP="006A2E9D">
      <w:pPr>
        <w:tabs>
          <w:tab w:val="left" w:pos="0"/>
          <w:tab w:val="left" w:pos="874"/>
          <w:tab w:val="left" w:pos="1725"/>
          <w:tab w:val="left" w:pos="2574"/>
          <w:tab w:val="left" w:pos="4277"/>
          <w:tab w:val="left" w:pos="5128"/>
          <w:tab w:val="left" w:pos="5979"/>
          <w:tab w:val="left" w:pos="6828"/>
          <w:tab w:val="left" w:pos="7680"/>
          <w:tab w:val="left" w:pos="8531"/>
          <w:tab w:val="left" w:pos="9382"/>
        </w:tabs>
        <w:suppressAutoHyphens/>
        <w:ind w:left="3402" w:hanging="3402"/>
        <w:jc w:val="center"/>
        <w:rPr>
          <w:rFonts w:cs="Calibri"/>
          <w:spacing w:val="-3"/>
          <w:sz w:val="20"/>
          <w:szCs w:val="20"/>
        </w:rPr>
      </w:pPr>
      <w:r w:rsidRPr="00087E9C">
        <w:rPr>
          <w:rFonts w:cs="Calibri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F518C" wp14:editId="2FF853D5">
                <wp:simplePos x="0" y="0"/>
                <wp:positionH relativeFrom="column">
                  <wp:posOffset>1656715</wp:posOffset>
                </wp:positionH>
                <wp:positionV relativeFrom="paragraph">
                  <wp:posOffset>83820</wp:posOffset>
                </wp:positionV>
                <wp:extent cx="159385" cy="886460"/>
                <wp:effectExtent l="12700" t="11430" r="8890" b="69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8864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0F94" id="Retângulo 1" o:spid="_x0000_s1026" style="position:absolute;margin-left:130.45pt;margin-top:6.6pt;width:12.5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" fillcolor="black"/>
            </w:pict>
          </mc:Fallback>
        </mc:AlternateContent>
      </w:r>
      <w:r>
        <w:rPr>
          <w:rFonts w:cs="Calibri"/>
          <w:spacing w:val="-3"/>
          <w:sz w:val="20"/>
          <w:szCs w:val="20"/>
        </w:rPr>
        <w:t xml:space="preserve">            MINUTA DE </w:t>
      </w:r>
      <w:r w:rsidRPr="00087E9C">
        <w:rPr>
          <w:rFonts w:cs="Calibri"/>
          <w:spacing w:val="-3"/>
          <w:sz w:val="20"/>
          <w:szCs w:val="20"/>
        </w:rPr>
        <w:t xml:space="preserve">RESOLUÇÃO </w:t>
      </w:r>
    </w:p>
    <w:p w14:paraId="094C655E" w14:textId="77777777" w:rsidR="006A2E9D" w:rsidRPr="00087E9C" w:rsidRDefault="006A2E9D" w:rsidP="006A2E9D">
      <w:pPr>
        <w:tabs>
          <w:tab w:val="left" w:pos="0"/>
          <w:tab w:val="left" w:pos="874"/>
          <w:tab w:val="left" w:pos="1725"/>
          <w:tab w:val="left" w:pos="2574"/>
          <w:tab w:val="left" w:pos="3402"/>
          <w:tab w:val="left" w:pos="4277"/>
          <w:tab w:val="left" w:pos="5128"/>
          <w:tab w:val="left" w:pos="5979"/>
          <w:tab w:val="left" w:pos="6828"/>
          <w:tab w:val="left" w:pos="7680"/>
          <w:tab w:val="left" w:pos="8531"/>
          <w:tab w:val="left" w:pos="9382"/>
        </w:tabs>
        <w:suppressAutoHyphens/>
        <w:ind w:left="3402" w:hanging="3402"/>
        <w:jc w:val="both"/>
        <w:rPr>
          <w:rFonts w:cs="Calibri"/>
          <w:spacing w:val="-2"/>
          <w:sz w:val="20"/>
          <w:szCs w:val="20"/>
        </w:rPr>
      </w:pPr>
      <w:r w:rsidRPr="00087E9C">
        <w:rPr>
          <w:rFonts w:cs="Calibri"/>
          <w:spacing w:val="-3"/>
          <w:sz w:val="20"/>
          <w:szCs w:val="20"/>
        </w:rPr>
        <w:tab/>
      </w:r>
      <w:r w:rsidRPr="00087E9C">
        <w:rPr>
          <w:rFonts w:cs="Calibri"/>
          <w:spacing w:val="-3"/>
          <w:sz w:val="20"/>
          <w:szCs w:val="20"/>
        </w:rPr>
        <w:tab/>
      </w:r>
      <w:r w:rsidRPr="00087E9C">
        <w:rPr>
          <w:rFonts w:cs="Calibri"/>
          <w:spacing w:val="-3"/>
          <w:sz w:val="20"/>
          <w:szCs w:val="20"/>
        </w:rPr>
        <w:tab/>
      </w:r>
      <w:r w:rsidRPr="00087E9C">
        <w:rPr>
          <w:rFonts w:cs="Calibri"/>
          <w:spacing w:val="-3"/>
          <w:sz w:val="20"/>
          <w:szCs w:val="20"/>
        </w:rPr>
        <w:tab/>
      </w:r>
      <w:r w:rsidRPr="00087E9C">
        <w:rPr>
          <w:rFonts w:cs="Calibri"/>
          <w:color w:val="000000"/>
          <w:sz w:val="20"/>
          <w:szCs w:val="20"/>
        </w:rPr>
        <w:t>Estabelece as disciplinas e práticas profissionais que passarão a compor o elenco do Departamento de             do Setor de              da Universidade Federal do Paraná.</w:t>
      </w:r>
    </w:p>
    <w:p w14:paraId="52D97561" w14:textId="77777777" w:rsidR="006A2E9D" w:rsidRPr="00087E9C" w:rsidRDefault="006A2E9D" w:rsidP="006A2E9D">
      <w:pPr>
        <w:tabs>
          <w:tab w:val="left" w:pos="0"/>
        </w:tabs>
        <w:suppressAutoHyphens/>
        <w:jc w:val="both"/>
        <w:rPr>
          <w:rFonts w:cs="Calibri"/>
          <w:spacing w:val="-2"/>
          <w:sz w:val="20"/>
          <w:szCs w:val="20"/>
        </w:rPr>
      </w:pPr>
    </w:p>
    <w:p w14:paraId="7B78E6D9" w14:textId="77777777" w:rsidR="006A2E9D" w:rsidRPr="00087E9C" w:rsidRDefault="006A2E9D" w:rsidP="006A2E9D">
      <w:pPr>
        <w:tabs>
          <w:tab w:val="left" w:pos="3402"/>
        </w:tabs>
        <w:suppressAutoHyphens/>
        <w:ind w:firstLine="2835"/>
        <w:jc w:val="both"/>
        <w:rPr>
          <w:rFonts w:cs="Calibri"/>
          <w:spacing w:val="-2"/>
          <w:sz w:val="20"/>
          <w:szCs w:val="20"/>
        </w:rPr>
      </w:pPr>
      <w:r w:rsidRPr="00087E9C">
        <w:rPr>
          <w:rFonts w:cs="Calibri"/>
          <w:b/>
          <w:bCs/>
          <w:color w:val="000000"/>
          <w:sz w:val="20"/>
          <w:szCs w:val="20"/>
        </w:rPr>
        <w:t>O CONSELHO DE ENSINO, PESQUISA E EXTENSÃO</w:t>
      </w:r>
      <w:r w:rsidRPr="00087E9C">
        <w:rPr>
          <w:rFonts w:cs="Calibri"/>
          <w:color w:val="000000"/>
          <w:sz w:val="20"/>
          <w:szCs w:val="20"/>
        </w:rPr>
        <w:t>, órgão normativo, consultivo e deliberativo da administração superior, no uso de suas atribuições conferidas pelo Artigo 21 do Estatuto da Universidade Federal do Paraná e considerando o disposto no processo nº</w:t>
      </w:r>
      <w:r>
        <w:rPr>
          <w:rFonts w:cs="Calibri"/>
          <w:color w:val="000000"/>
          <w:sz w:val="20"/>
          <w:szCs w:val="20"/>
        </w:rPr>
        <w:t>.......</w:t>
      </w:r>
      <w:r w:rsidRPr="00087E9C">
        <w:rPr>
          <w:rFonts w:cs="Calibri"/>
          <w:color w:val="000000"/>
          <w:sz w:val="20"/>
          <w:szCs w:val="20"/>
        </w:rPr>
        <w:t>.</w:t>
      </w:r>
    </w:p>
    <w:p w14:paraId="683D0026" w14:textId="77777777" w:rsidR="006A2E9D" w:rsidRPr="00087E9C" w:rsidRDefault="006A2E9D" w:rsidP="006A2E9D">
      <w:pPr>
        <w:tabs>
          <w:tab w:val="left" w:pos="0"/>
          <w:tab w:val="left" w:pos="3402"/>
          <w:tab w:val="left" w:pos="3600"/>
        </w:tabs>
        <w:suppressAutoHyphens/>
        <w:jc w:val="both"/>
        <w:rPr>
          <w:rFonts w:cs="Calibri"/>
          <w:spacing w:val="-2"/>
          <w:sz w:val="20"/>
          <w:szCs w:val="20"/>
        </w:rPr>
      </w:pPr>
      <w:r w:rsidRPr="00087E9C">
        <w:rPr>
          <w:rFonts w:cs="Calibri"/>
          <w:spacing w:val="-2"/>
          <w:sz w:val="20"/>
          <w:szCs w:val="20"/>
        </w:rPr>
        <w:tab/>
      </w:r>
    </w:p>
    <w:p w14:paraId="073BB29C" w14:textId="77777777" w:rsidR="006A2E9D" w:rsidRPr="00087E9C" w:rsidRDefault="006A2E9D" w:rsidP="006A2E9D">
      <w:pPr>
        <w:tabs>
          <w:tab w:val="left" w:pos="0"/>
          <w:tab w:val="left" w:pos="3402"/>
          <w:tab w:val="left" w:pos="3600"/>
        </w:tabs>
        <w:suppressAutoHyphens/>
        <w:jc w:val="center"/>
        <w:rPr>
          <w:rFonts w:cs="Calibri"/>
          <w:spacing w:val="-2"/>
          <w:sz w:val="20"/>
          <w:szCs w:val="20"/>
        </w:rPr>
      </w:pPr>
      <w:r w:rsidRPr="00087E9C">
        <w:rPr>
          <w:rFonts w:cs="Calibri"/>
          <w:spacing w:val="-2"/>
          <w:sz w:val="20"/>
          <w:szCs w:val="20"/>
        </w:rPr>
        <w:t>R E S O L V E :</w:t>
      </w:r>
    </w:p>
    <w:p w14:paraId="183FC75E" w14:textId="77777777" w:rsidR="006A2E9D" w:rsidRPr="00087E9C" w:rsidRDefault="006A2E9D" w:rsidP="006A2E9D">
      <w:pPr>
        <w:tabs>
          <w:tab w:val="left" w:pos="0"/>
          <w:tab w:val="left" w:pos="874"/>
          <w:tab w:val="left" w:pos="1725"/>
          <w:tab w:val="left" w:pos="2574"/>
          <w:tab w:val="left" w:pos="4277"/>
          <w:tab w:val="left" w:pos="5128"/>
          <w:tab w:val="left" w:pos="5979"/>
          <w:tab w:val="left" w:pos="6828"/>
          <w:tab w:val="left" w:pos="7680"/>
          <w:tab w:val="left" w:pos="8531"/>
          <w:tab w:val="left" w:pos="9382"/>
        </w:tabs>
        <w:suppressAutoHyphens/>
        <w:jc w:val="both"/>
        <w:rPr>
          <w:rFonts w:cs="Calibri"/>
          <w:spacing w:val="-2"/>
          <w:sz w:val="20"/>
          <w:szCs w:val="20"/>
        </w:rPr>
      </w:pPr>
      <w:r w:rsidRPr="00087E9C">
        <w:rPr>
          <w:rFonts w:cs="Calibri"/>
          <w:spacing w:val="-2"/>
          <w:sz w:val="20"/>
          <w:szCs w:val="20"/>
        </w:rPr>
        <w:t>Art. 1º -</w:t>
      </w:r>
      <w:r w:rsidRPr="00087E9C">
        <w:rPr>
          <w:rFonts w:cs="Calibri"/>
          <w:spacing w:val="-2"/>
          <w:sz w:val="20"/>
          <w:szCs w:val="20"/>
        </w:rPr>
        <w:tab/>
      </w:r>
      <w:r w:rsidRPr="00087E9C">
        <w:rPr>
          <w:rFonts w:cs="Calibri"/>
          <w:color w:val="000000"/>
          <w:sz w:val="20"/>
          <w:szCs w:val="20"/>
        </w:rPr>
        <w:t>Aprovar a criação das seguintes disciplinas e práticas profissionais que passarão a compor o elenco do Departamento de                 do Setor de                   , da Universidade Federal do Paraná.</w:t>
      </w:r>
    </w:p>
    <w:p w14:paraId="61D01991" w14:textId="0049F62B" w:rsidR="006A2E9D" w:rsidRDefault="006A2E9D" w:rsidP="006A2E9D">
      <w:pPr>
        <w:tabs>
          <w:tab w:val="left" w:pos="0"/>
          <w:tab w:val="left" w:pos="851"/>
          <w:tab w:val="left" w:pos="1440"/>
        </w:tabs>
        <w:suppressAutoHyphens/>
        <w:ind w:left="851" w:hanging="851"/>
        <w:jc w:val="both"/>
        <w:rPr>
          <w:rFonts w:cs="Calibri"/>
          <w:spacing w:val="-2"/>
          <w:sz w:val="20"/>
          <w:szCs w:val="20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97"/>
        <w:gridCol w:w="605"/>
        <w:gridCol w:w="606"/>
        <w:gridCol w:w="606"/>
        <w:gridCol w:w="606"/>
        <w:gridCol w:w="605"/>
        <w:gridCol w:w="606"/>
        <w:gridCol w:w="606"/>
        <w:gridCol w:w="606"/>
        <w:gridCol w:w="562"/>
        <w:gridCol w:w="421"/>
        <w:gridCol w:w="422"/>
      </w:tblGrid>
      <w:tr w:rsidR="00772FD3" w:rsidRPr="00087E9C" w14:paraId="65CFE594" w14:textId="77777777" w:rsidTr="00772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5353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FE599C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Conteúdos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E10B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0" w:right="-164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18B8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5" w:right="-19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LB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2DC0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7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CP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EF9A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9A0C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938D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PE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A7638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EFP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360EB1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CHT</w:t>
            </w: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EA006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C.H.</w:t>
            </w:r>
          </w:p>
          <w:p w14:paraId="6FADEC9B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EaD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BC2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EXT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F94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PCC</w:t>
            </w:r>
          </w:p>
        </w:tc>
      </w:tr>
      <w:tr w:rsidR="00772FD3" w:rsidRPr="00087E9C" w14:paraId="2FBEE888" w14:textId="77777777" w:rsidTr="00772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3F7F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BD814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CFBE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610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692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92D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9D3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927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D5B2B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3F5DD4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F8CB8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EAD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8E7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FD3" w:rsidRPr="00087E9C" w14:paraId="53C11A1B" w14:textId="77777777" w:rsidTr="00772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B6F3D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175C16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XXXXX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2E9C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0F24E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CA028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0842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8AC3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34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3B884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0A875A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77B02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A8C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923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FD3" w:rsidRPr="00087E9C" w14:paraId="23234373" w14:textId="77777777" w:rsidTr="00772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36835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</w:t>
            </w:r>
            <w:r w:rsidRPr="00087E9C"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D919066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XXXX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C93C5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DC402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55997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AE008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15524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Cs/>
                <w:sz w:val="20"/>
                <w:szCs w:val="20"/>
                <w:lang w:eastAsia="zh-TW"/>
              </w:rPr>
            </w:pPr>
            <w:r w:rsidRPr="00087E9C">
              <w:rPr>
                <w:rFonts w:eastAsia="PMingLiU" w:cs="Calibri"/>
                <w:bCs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5CD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8A647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FFE376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5EE67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E3180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24C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63E" w14:textId="77777777" w:rsidR="00772FD3" w:rsidRPr="004E3180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FD3" w:rsidRPr="00087E9C" w14:paraId="673BC17D" w14:textId="77777777" w:rsidTr="00772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F4DF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3BF0FF8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77C6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AA68C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40482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92D2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6407B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F61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79E21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A356D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05D7C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B15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E7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72FD3" w:rsidRPr="00087E9C" w14:paraId="6570EC25" w14:textId="77777777" w:rsidTr="00772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ACA3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CE98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9ED0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63CB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450A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739DE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9E4A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FE7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234A5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7A9513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5F2C3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C3B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1A8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72FD3" w:rsidRPr="00087E9C" w14:paraId="7466988B" w14:textId="77777777" w:rsidTr="00772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039C8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58E8A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8C24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1B11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A3AC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E022A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FA9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Calibri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470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4BA1E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24ED49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FE1EF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748D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02F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72FD3" w:rsidRPr="00087E9C" w14:paraId="2555A1A5" w14:textId="77777777" w:rsidTr="00772F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F4E0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1CE9E7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87E9C">
              <w:rPr>
                <w:rFonts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291B1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22A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2BC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918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EC8C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DA2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DB138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C4BB96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D4846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D04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866" w14:textId="77777777" w:rsidR="00772FD3" w:rsidRPr="00087E9C" w:rsidRDefault="00772FD3" w:rsidP="00D65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0758EF0" w14:textId="77777777" w:rsidR="00772FD3" w:rsidRPr="00087E9C" w:rsidRDefault="00772FD3" w:rsidP="006A2E9D">
      <w:pPr>
        <w:tabs>
          <w:tab w:val="left" w:pos="0"/>
          <w:tab w:val="left" w:pos="851"/>
          <w:tab w:val="left" w:pos="1440"/>
        </w:tabs>
        <w:suppressAutoHyphens/>
        <w:ind w:left="851" w:hanging="851"/>
        <w:jc w:val="both"/>
        <w:rPr>
          <w:rFonts w:cs="Calibri"/>
          <w:spacing w:val="-2"/>
          <w:sz w:val="20"/>
          <w:szCs w:val="20"/>
        </w:rPr>
      </w:pPr>
    </w:p>
    <w:p w14:paraId="035C75E0" w14:textId="77777777" w:rsidR="006A2E9D" w:rsidRPr="00087E9C" w:rsidRDefault="006A2E9D" w:rsidP="006A2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0"/>
          <w:szCs w:val="20"/>
        </w:rPr>
      </w:pPr>
    </w:p>
    <w:p w14:paraId="0D22D105" w14:textId="77777777" w:rsidR="006A2E9D" w:rsidRDefault="006A2E9D" w:rsidP="006A2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B95A9A" w14:textId="77777777" w:rsidR="006A2E9D" w:rsidRPr="00087E9C" w:rsidRDefault="006A2E9D" w:rsidP="006A2E9D">
      <w:pPr>
        <w:tabs>
          <w:tab w:val="left" w:pos="-283"/>
        </w:tabs>
        <w:ind w:left="993" w:hanging="993"/>
        <w:jc w:val="both"/>
        <w:rPr>
          <w:rFonts w:cs="Calibri"/>
          <w:spacing w:val="-3"/>
          <w:sz w:val="20"/>
        </w:rPr>
      </w:pPr>
      <w:r w:rsidRPr="00087E9C">
        <w:rPr>
          <w:rFonts w:cs="Calibri"/>
          <w:spacing w:val="-3"/>
          <w:sz w:val="20"/>
        </w:rPr>
        <w:t>Art. 2º -</w:t>
      </w:r>
      <w:r w:rsidRPr="00087E9C">
        <w:rPr>
          <w:rFonts w:cs="Calibri"/>
          <w:spacing w:val="-3"/>
          <w:sz w:val="20"/>
        </w:rPr>
        <w:tab/>
        <w:t>Esta Resolução entra em vigor em     .</w:t>
      </w:r>
    </w:p>
    <w:p w14:paraId="60D578BF" w14:textId="77777777" w:rsidR="006A2E9D" w:rsidRPr="00087E9C" w:rsidRDefault="006A2E9D" w:rsidP="006A2E9D">
      <w:pPr>
        <w:tabs>
          <w:tab w:val="left" w:pos="-283"/>
          <w:tab w:val="left" w:pos="709"/>
        </w:tabs>
        <w:jc w:val="both"/>
        <w:rPr>
          <w:rFonts w:cs="Calibri"/>
          <w:spacing w:val="-3"/>
          <w:sz w:val="20"/>
        </w:rPr>
      </w:pPr>
    </w:p>
    <w:p w14:paraId="78861711" w14:textId="77777777" w:rsidR="006A2E9D" w:rsidRPr="00087E9C" w:rsidRDefault="006A2E9D" w:rsidP="006A2E9D">
      <w:pPr>
        <w:tabs>
          <w:tab w:val="left" w:pos="-283"/>
          <w:tab w:val="left" w:pos="709"/>
        </w:tabs>
        <w:jc w:val="both"/>
        <w:rPr>
          <w:rFonts w:cs="Calibri"/>
          <w:spacing w:val="-3"/>
          <w:sz w:val="20"/>
        </w:rPr>
      </w:pPr>
    </w:p>
    <w:p w14:paraId="4B2FE5A8" w14:textId="77777777" w:rsidR="006A2E9D" w:rsidRPr="00087E9C" w:rsidRDefault="006A2E9D" w:rsidP="006A2E9D">
      <w:pPr>
        <w:tabs>
          <w:tab w:val="left" w:pos="-283"/>
          <w:tab w:val="left" w:pos="709"/>
        </w:tabs>
        <w:jc w:val="both"/>
        <w:rPr>
          <w:rFonts w:cs="Calibri"/>
          <w:sz w:val="24"/>
        </w:rPr>
      </w:pPr>
      <w:r w:rsidRPr="00087E9C">
        <w:rPr>
          <w:rFonts w:cs="Calibri"/>
          <w:spacing w:val="-3"/>
          <w:sz w:val="20"/>
        </w:rPr>
        <w:tab/>
        <w:t xml:space="preserve">Sala das Sessões, </w:t>
      </w:r>
    </w:p>
    <w:p w14:paraId="078A28E3" w14:textId="77777777" w:rsidR="00DD7C96" w:rsidRDefault="00DD7C96"/>
    <w:sectPr w:rsidR="00DD7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9D"/>
    <w:rsid w:val="006A2E9D"/>
    <w:rsid w:val="006D178A"/>
    <w:rsid w:val="00772FD3"/>
    <w:rsid w:val="00D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62F6"/>
  <w15:docId w15:val="{1935BDC0-E56D-4331-B0B7-1F83A29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E9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Schreiber</dc:creator>
  <cp:lastModifiedBy>Thais Pacievitch</cp:lastModifiedBy>
  <cp:revision>2</cp:revision>
  <dcterms:created xsi:type="dcterms:W3CDTF">2022-05-02T18:23:00Z</dcterms:created>
  <dcterms:modified xsi:type="dcterms:W3CDTF">2022-05-02T18:23:00Z</dcterms:modified>
</cp:coreProperties>
</file>